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hanging="2"/>
        <w:jc w:val="center"/>
        <w:rPr>
          <w:rFonts w:hint="eastAsia" w:ascii="黑体" w:eastAsia="黑体"/>
          <w:color w:val="000000"/>
          <w:sz w:val="32"/>
          <w:szCs w:val="32"/>
        </w:rPr>
      </w:pPr>
      <w:r>
        <w:rPr>
          <w:rFonts w:hint="eastAsia" w:ascii="黑体" w:eastAsia="黑体"/>
          <w:color w:val="000000"/>
          <w:sz w:val="32"/>
          <w:szCs w:val="32"/>
        </w:rPr>
        <w:t>荧光显微镜（正置）论证报告</w:t>
      </w:r>
    </w:p>
    <w:p>
      <w:pPr>
        <w:spacing w:line="480" w:lineRule="exact"/>
        <w:jc w:val="center"/>
        <w:rPr>
          <w:rFonts w:hint="eastAsia" w:ascii="仿宋_GB2312" w:eastAsia="仿宋_GB2312"/>
          <w:color w:val="000000"/>
          <w:szCs w:val="21"/>
        </w:rPr>
      </w:pPr>
      <w:r>
        <w:rPr>
          <w:rFonts w:hint="eastAsia" w:ascii="仿宋_GB2312" w:eastAsia="仿宋_GB2312"/>
          <w:color w:val="000000"/>
          <w:szCs w:val="21"/>
        </w:rPr>
        <w:t>(单价20万元以上设备)</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一、拟建项目：荧光显微镜（正置）</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二、设备简介</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（一）设备基本信息</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生产厂家：德国/蔡司（ZEISS）</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规格型号：Axio Imager A2</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参考价格：40万（免税人民币）</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（二）设备的先进性和适用性</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1、设备的主要技术参数</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  显微镜部分：</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1.1.1.研究型、整体全复消色差正置荧光显微镜，高效率V 型光路设计。</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1.1.2.采用ICCS无限远色差与反差双重校正光学系统，物镜目镜独立的双重（轴向、径向）色差校正。</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1.1.3.6位编码物镜转换器。</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1.1.4.显微镜透射光源：12V 100W 卤素灯。根据所用物镜，光源自动匹配适当亮度。</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1.1.5.目镜一对：10x，视场数25mm。</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1.1.6. 三目镜照相筒，25mm视场。</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1.1.7.物镜：针对荧光观察分析应用优化的高分辨率、高透过率超平场ICCS M27螺纹口物镜，视场25mm。5x,10x，20x，40x，100x超平场平场物镜。</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1.1.8.平场消色差消球差聚光镜 数值孔径0.9。</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1.1.9. ※荧光光源采用外置长寿命120W金属卤化物荧光光源，使用寿命可达2000小时以上。无热效应液体光纤连接，光强度可调；</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1.1.10. 全复消色差荧光光路。</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1.1.11. 六位荧光滤色块转盘。</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1.1.12.※带荧光消杂光开口及消杂光通道的“光陷阱”技术以消除荧光杂散光。</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1.2．CCD 部分</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1.2.1.※原厂同品牌成像系统高分辨率彩色数码制冷CCD， CCD芯片≥1英寸（2752 水平像素 x 2208 垂直像素）。</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1.2.2.与1英寸CCD匹配的 C型专业相机接口。</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1.2.3.使用 USB 3.0 接口与 PC 互连，数据传输速率达每秒 5 G</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1.2.4.最大实际像素：≥600万</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1.2.5.位深：14Bit</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1.2.6.※动态范围≥2500：1</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1.2.7.暗电流≤0.06 e-/pixel/s</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1.2.8.读出噪声≤6.5 e- at 39 Mhz</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1.2.9.满阱电子 15000 e-</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1.2.10.2752 (H) x 2208 (V)全幅分辨率下图像帧率≥19fps</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1.2.11.低于环境温度20℃的电子制冷</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1.2.12.CCD配套图像拍摄、处理软件。</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2、设备的先进性</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 xml:space="preserve">   本设备的先进性主要体现在以下几个方面：</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2.1、金属卤化物超长寿命荧光光源，寿命是传统汞灯荧光源的近七倍</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2.2、“光陷阱”技术完全消除荧光杂散光噪声</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2.3、1英寸CCD感光芯片，照相感光靶面积更大，CCD灵敏度更高</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2.4、德国蔡司优秀的ICCS无限远色差与反差双重校正光学系统</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2.5、该设备符合节能减排的要求，基本没有实验耗材消耗</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3、设备的应用范围</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color w:val="auto"/>
          <w:sz w:val="28"/>
          <w:szCs w:val="28"/>
        </w:rPr>
      </w:pPr>
      <w:r>
        <w:rPr>
          <w:rFonts w:hint="eastAsia" w:ascii="仿宋_GB2312" w:hAnsi="Times New Roman" w:eastAsia="仿宋_GB2312" w:cs="Times New Roman"/>
          <w:color w:val="auto"/>
          <w:sz w:val="28"/>
          <w:szCs w:val="28"/>
        </w:rPr>
        <w:t>可对多种生物样品如染色动物、植物组织切片、活性细胞、血球涂片，高分辨透明活菌、微生物和环境监测试样等进行观察和数字化图像分析研究，适合病理学、微生物学、细胞生物学、分子生物学、遗传学与发育学等广泛生命科学领域的显微研究用途。</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556"/>
        <w:textAlignment w:val="auto"/>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我校采购本设备的必要性</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1.从本科教学、开放实验、社会服务等方面介绍</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firstLineChars="200"/>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荧光显微镜（正置）应用涉及到医学、动物学、生物学等多学科、多专业、多方向，应用性极强。由于此设备使用频率高，仪器维护保养简便，操作相对简单，预计装机使用后，除应用与本学科教学及科研外，可在院内外开放。购置该仪器将极大的方便医学、动物学、生物学等相关学科的研究，提升相关科研和应用的工作效率，对提升学校的整体科研水平，以及科研产品向实际应用转化起到极大的推进作用。</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2.我校是否有稳定的学科团队、稳定的学科方向使用该设备？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是公共技术平台，医学各学科研究均要使用该设备</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3.该设备能否通过与其他高校共享解决等，如果是进口设备说明不能采用同类国产设备的原因</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560"/>
        <w:textAlignment w:val="auto"/>
        <w:rPr>
          <w:rFonts w:hint="eastAsia" w:ascii="仿宋_GB2312" w:hAnsi="Times New Roman" w:eastAsia="仿宋_GB2312" w:cs="Times New Roman"/>
          <w:b w:val="0"/>
          <w:bCs w:val="0"/>
          <w:color w:val="auto"/>
          <w:sz w:val="28"/>
          <w:szCs w:val="28"/>
        </w:rPr>
      </w:pPr>
      <w:r>
        <w:rPr>
          <w:rFonts w:hint="eastAsia" w:ascii="仿宋_GB2312" w:hAnsi="Times New Roman" w:eastAsia="仿宋_GB2312" w:cs="Times New Roman"/>
          <w:b w:val="0"/>
          <w:bCs w:val="0"/>
          <w:color w:val="auto"/>
          <w:sz w:val="28"/>
          <w:szCs w:val="28"/>
        </w:rPr>
        <w:t>此设备基本都是各个实验室必用设备，基本是满负荷工作，基本上不能共享使用。此次购置的设备指标国产设备达不到要求。</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left="0" w:leftChars="0" w:firstLine="556" w:firstLineChars="0"/>
        <w:textAlignment w:val="auto"/>
        <w:rPr>
          <w:rFonts w:hint="eastAsia" w:ascii="仿宋_GB2312" w:hAnsi="Times New Roman" w:eastAsia="仿宋_GB2312" w:cs="Times New Roman"/>
          <w:b/>
          <w:bCs/>
          <w:color w:val="auto"/>
          <w:sz w:val="28"/>
          <w:szCs w:val="28"/>
        </w:rPr>
      </w:pPr>
      <w:r>
        <w:rPr>
          <w:rFonts w:hint="eastAsia" w:ascii="仿宋_GB2312" w:hAnsi="Times New Roman" w:eastAsia="仿宋_GB2312" w:cs="Times New Roman"/>
          <w:b/>
          <w:bCs/>
          <w:color w:val="auto"/>
          <w:sz w:val="28"/>
          <w:szCs w:val="28"/>
        </w:rPr>
        <w:t>设备使用效益及投资风险分析</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（一）设备使用效益分析</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1．设备年使用机时</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预计装机使用后，可达420小时/年。购置该仪器将极大的方便医学和生命科学研究，提升相关科研和应用的工作效率，对提升我们医学院的整体科研水平，以及科研产品向实际应用转化起到极大的推进作用。</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2．设备投入使用后可以产生效益</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购置该仪器，对提升科研水平以及科研产品向实际应用转化能起到极大的推进作用，有利于提升整个学院的本科教学及科研水平。</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（二）投资风险分析</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该设备的主要风险在于使用规范和安全管理。由于该设备属于高端进口设备，对操作者的操作水平、专业程度要求较高，要求操作者能够掌握操作技术且具备分析能力，对仪器进行规范操作。再者设备造价较高，要加强对设备的日常管理、维护和维修。</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b/>
          <w:bCs/>
          <w:color w:val="000000"/>
          <w:sz w:val="28"/>
          <w:szCs w:val="28"/>
        </w:rPr>
        <w:t>五、保障措施</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（一）人员配备</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订购仪器后，将安排1名高级实验师和1名讲师参加技术培训，今后由2人负责仪器的使用及日程维护工作。</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（二）配套条件</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该设备无需配套设备，无其它特殊要求。</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（三） 运行经费</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该设备基本没有实验耗材消耗</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（四）管理措施</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该设备将实行“专管、共享、开放”的管理措施。</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b/>
          <w:bCs/>
          <w:color w:val="000000"/>
          <w:sz w:val="28"/>
          <w:szCs w:val="28"/>
        </w:rPr>
        <w:t>六、设备校内共享方案</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在不断提升仪器设备水平、档次的同时，学校十分重视对仪器设备资源的开发利用，先后制定了《吉首大学大学学科建设项目仪器设备购置与管理办法》、《吉首大学仪器设备开放基金使用与管理办法》、《吉首大学贵重仪器设备有偿使用管理办法》、《吉首大学实验室对外技术服务管理办法》、《吉首大学贵重仪器设备使用效益评估与奖励办法》等文件，进一步促进对大型仪器设备的使用，提高利用率，建立大型仪器设备的“专管、开放、共享”体系。主要采取如下措施：</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1、建立大型仪器设备“专管共享”制度，构筑大型仪器设备“专管共享”平台</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将各学科、各实验室10万以上，具备开放服务功能的大型仪器设备信息进行有效整合，通过计算机网络向校内外公布其服务功能、服务项目、服务时间、收费标准等相关信息，为大型仪器设备的“专管共享”创造必要的条件。对新购仪器设备，按照学科发展需要和现有仪器设备的配置情况进行充分论证。特别要对大型仪器设备的功能、规格、布局结构进行全面论证，避免重复购置，防止造成资源浪费。</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2、设立“大型仪器设备开放基金”，推动各级各类实验室对校内外开放</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每年投入一定经费建立“大型仪器设备开放基金”，促进现有重点实验室进一步对校内外开放，提高重点实验室的开放程度和仪器设备利用率。选择一批有开放条件、有利于学科优势互补，有利于学科交叉融合，有利于培养学生动手能力、创新能力的专业、科研类实验室对广大师生开放，学校在实验材料费、仪器设备维护费、人工费方面给予重点支持。充分调动大型仪器设备管理者和使用者两个方面的积极性。</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3.完善激励机制，建立“大型仪器设备使用效益评估与奖励”制度。</w:t>
      </w:r>
    </w:p>
    <w:p>
      <w:pPr>
        <w:keepNext w:val="0"/>
        <w:keepLines w:val="0"/>
        <w:pageBreakBefore w:val="0"/>
        <w:widowControl w:val="0"/>
        <w:kinsoku/>
        <w:wordWrap/>
        <w:overflowPunct/>
        <w:topLinePunct w:val="0"/>
        <w:autoSpaceDE/>
        <w:autoSpaceDN/>
        <w:bidi w:val="0"/>
        <w:adjustRightInd/>
        <w:snapToGrid/>
        <w:spacing w:line="580" w:lineRule="exact"/>
        <w:ind w:firstLine="556"/>
        <w:textAlignment w:val="auto"/>
        <w:rPr>
          <w:rFonts w:hint="eastAsia" w:ascii="仿宋_GB2312" w:eastAsia="仿宋_GB2312"/>
          <w:color w:val="000000"/>
          <w:sz w:val="28"/>
          <w:szCs w:val="28"/>
        </w:rPr>
      </w:pPr>
      <w:r>
        <w:rPr>
          <w:rFonts w:hint="eastAsia" w:ascii="仿宋_GB2312" w:eastAsia="仿宋_GB2312"/>
          <w:color w:val="000000"/>
          <w:sz w:val="28"/>
          <w:szCs w:val="28"/>
        </w:rPr>
        <w:t>定期对10万以上大型仪器设备进行使用效益评估。重点对大型仪器设备开机时数、功能利用率、完成课题(论文)情况、人才培养情况、日常维护情况进行定量考核，并在全校范围内公开评估结果。对使用效益高的机组、实验室给予物质与精神奖励。对使用效益低下的限期整改，对整改无效的，给予通报批评、核减项目经费。</w:t>
      </w:r>
    </w:p>
    <w:p>
      <w:pPr>
        <w:keepNext w:val="0"/>
        <w:keepLines w:val="0"/>
        <w:pageBreakBefore w:val="0"/>
        <w:widowControl w:val="0"/>
        <w:numPr>
          <w:ilvl w:val="0"/>
          <w:numId w:val="2"/>
        </w:numPr>
        <w:kinsoku/>
        <w:wordWrap/>
        <w:overflowPunct/>
        <w:topLinePunct w:val="0"/>
        <w:autoSpaceDE/>
        <w:autoSpaceDN/>
        <w:bidi w:val="0"/>
        <w:adjustRightInd/>
        <w:snapToGrid/>
        <w:spacing w:line="580" w:lineRule="exact"/>
        <w:ind w:firstLine="555"/>
        <w:textAlignment w:val="auto"/>
        <w:rPr>
          <w:rFonts w:hint="eastAsia" w:ascii="仿宋_GB2312" w:eastAsia="仿宋_GB2312"/>
          <w:b/>
          <w:color w:val="000000"/>
          <w:sz w:val="28"/>
          <w:szCs w:val="28"/>
        </w:rPr>
      </w:pPr>
      <w:r>
        <w:rPr>
          <w:rFonts w:hint="eastAsia" w:ascii="仿宋_GB2312" w:eastAsia="仿宋_GB2312"/>
          <w:b/>
          <w:color w:val="000000"/>
          <w:sz w:val="28"/>
          <w:szCs w:val="28"/>
        </w:rPr>
        <w:t>论证专家组成员</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rPr>
          <w:rFonts w:hint="eastAsia" w:ascii="仿宋_GB2312" w:eastAsia="仿宋_GB2312"/>
          <w:b/>
          <w:color w:val="000000"/>
          <w:sz w:val="28"/>
          <w:szCs w:val="28"/>
        </w:rPr>
      </w:pPr>
    </w:p>
    <w:tbl>
      <w:tblPr>
        <w:tblStyle w:val="3"/>
        <w:tblW w:w="8627" w:type="dxa"/>
        <w:tblInd w:w="6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8"/>
        <w:gridCol w:w="1477"/>
        <w:gridCol w:w="2940"/>
        <w:gridCol w:w="1070"/>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序号</w:t>
            </w:r>
          </w:p>
        </w:tc>
        <w:tc>
          <w:tcPr>
            <w:tcW w:w="1477"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姓名</w:t>
            </w:r>
          </w:p>
        </w:tc>
        <w:tc>
          <w:tcPr>
            <w:tcW w:w="2940"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专业</w:t>
            </w:r>
          </w:p>
        </w:tc>
        <w:tc>
          <w:tcPr>
            <w:tcW w:w="1070"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职称</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专家签名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1</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lang w:eastAsia="zh-CN"/>
              </w:rPr>
              <w:t>彭小宁</w:t>
            </w:r>
          </w:p>
        </w:tc>
        <w:tc>
          <w:tcPr>
            <w:tcW w:w="2940" w:type="dxa"/>
            <w:noWrap w:val="0"/>
            <w:vAlign w:val="top"/>
          </w:tcPr>
          <w:p>
            <w:pPr>
              <w:widowControl/>
              <w:spacing w:line="580" w:lineRule="exact"/>
              <w:jc w:val="lef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分子生物学</w:t>
            </w:r>
            <w:r>
              <w:rPr>
                <w:rFonts w:hint="eastAsia" w:ascii="仿宋_GB2312" w:hAnsi="宋体" w:eastAsia="仿宋_GB2312" w:cs="宋体"/>
                <w:color w:val="auto"/>
                <w:kern w:val="0"/>
                <w:sz w:val="24"/>
                <w:szCs w:val="24"/>
                <w:lang w:eastAsia="zh-CN"/>
              </w:rPr>
              <w:t>与分子生物学</w:t>
            </w:r>
          </w:p>
        </w:tc>
        <w:tc>
          <w:tcPr>
            <w:tcW w:w="1070" w:type="dxa"/>
            <w:noWrap w:val="0"/>
            <w:vAlign w:val="top"/>
          </w:tcPr>
          <w:p>
            <w:pPr>
              <w:widowControl/>
              <w:spacing w:line="580" w:lineRule="exact"/>
              <w:ind w:firstLine="560" w:firstLineChars="200"/>
              <w:rPr>
                <w:rFonts w:hint="eastAsia" w:ascii="仿宋_GB2312" w:eastAsia="仿宋_GB2312"/>
                <w:color w:val="000000"/>
                <w:sz w:val="28"/>
                <w:szCs w:val="28"/>
              </w:rPr>
            </w:pP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2</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李先辉</w:t>
            </w:r>
          </w:p>
        </w:tc>
        <w:tc>
          <w:tcPr>
            <w:tcW w:w="2940" w:type="dxa"/>
            <w:noWrap w:val="0"/>
            <w:vAlign w:val="top"/>
          </w:tcPr>
          <w:p>
            <w:pPr>
              <w:widowControl/>
              <w:spacing w:line="580" w:lineRule="exact"/>
              <w:jc w:val="lef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药理学</w:t>
            </w:r>
          </w:p>
        </w:tc>
        <w:tc>
          <w:tcPr>
            <w:tcW w:w="107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教授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3</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rPr>
            </w:pPr>
            <w:r>
              <w:rPr>
                <w:rFonts w:hint="eastAsia" w:ascii="仿宋_GB2312" w:hAnsi="宋体" w:eastAsia="仿宋_GB2312" w:cs="宋体"/>
                <w:color w:val="auto"/>
                <w:kern w:val="0"/>
                <w:sz w:val="24"/>
                <w:szCs w:val="24"/>
                <w:lang w:val="en-US" w:eastAsia="zh-CN"/>
              </w:rPr>
              <w:t>向明均</w:t>
            </w:r>
          </w:p>
        </w:tc>
        <w:tc>
          <w:tcPr>
            <w:tcW w:w="294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分子生物学</w:t>
            </w:r>
          </w:p>
        </w:tc>
        <w:tc>
          <w:tcPr>
            <w:tcW w:w="1070" w:type="dxa"/>
            <w:noWrap w:val="0"/>
            <w:vAlign w:val="top"/>
          </w:tcPr>
          <w:p>
            <w:pPr>
              <w:widowControl/>
              <w:spacing w:line="580" w:lineRule="exact"/>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rPr>
              <w:t>教授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4</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val="en-US" w:eastAsia="zh-CN"/>
              </w:rPr>
            </w:pPr>
            <w:r>
              <w:rPr>
                <w:rFonts w:hint="eastAsia" w:ascii="仿宋_GB2312" w:hAnsi="宋体" w:eastAsia="仿宋_GB2312" w:cs="宋体"/>
                <w:color w:val="auto"/>
                <w:kern w:val="0"/>
                <w:sz w:val="24"/>
                <w:szCs w:val="24"/>
                <w:lang w:eastAsia="zh-CN"/>
              </w:rPr>
              <w:t>郭靖</w:t>
            </w:r>
          </w:p>
        </w:tc>
        <w:tc>
          <w:tcPr>
            <w:tcW w:w="294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病原生物学</w:t>
            </w:r>
          </w:p>
        </w:tc>
        <w:tc>
          <w:tcPr>
            <w:tcW w:w="107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讲师</w:t>
            </w:r>
          </w:p>
        </w:tc>
        <w:tc>
          <w:tcPr>
            <w:tcW w:w="2042"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098" w:type="dxa"/>
            <w:noWrap w:val="0"/>
            <w:vAlign w:val="top"/>
          </w:tcPr>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仿宋_GB2312" w:eastAsia="仿宋_GB2312"/>
                <w:color w:val="000000"/>
                <w:sz w:val="28"/>
                <w:szCs w:val="28"/>
              </w:rPr>
            </w:pPr>
            <w:r>
              <w:rPr>
                <w:rFonts w:hint="eastAsia" w:ascii="仿宋_GB2312" w:eastAsia="仿宋_GB2312"/>
                <w:color w:val="000000"/>
                <w:sz w:val="28"/>
                <w:szCs w:val="28"/>
              </w:rPr>
              <w:t>5</w:t>
            </w:r>
          </w:p>
        </w:tc>
        <w:tc>
          <w:tcPr>
            <w:tcW w:w="1477" w:type="dxa"/>
            <w:noWrap w:val="0"/>
            <w:vAlign w:val="top"/>
          </w:tcPr>
          <w:p>
            <w:pPr>
              <w:widowControl/>
              <w:spacing w:line="580" w:lineRule="exact"/>
              <w:ind w:firstLine="480" w:firstLineChars="200"/>
              <w:rPr>
                <w:rFonts w:hint="eastAsia" w:ascii="仿宋_GB2312" w:eastAsia="仿宋_GB2312"/>
                <w:color w:val="000000"/>
                <w:sz w:val="28"/>
                <w:szCs w:val="28"/>
                <w:lang w:eastAsia="zh-CN"/>
              </w:rPr>
            </w:pPr>
            <w:r>
              <w:rPr>
                <w:rFonts w:hint="eastAsia" w:ascii="仿宋_GB2312" w:hAnsi="宋体" w:eastAsia="仿宋_GB2312" w:cs="宋体"/>
                <w:color w:val="auto"/>
                <w:kern w:val="0"/>
                <w:sz w:val="24"/>
                <w:szCs w:val="24"/>
                <w:lang w:eastAsia="zh-CN"/>
              </w:rPr>
              <w:t>贾薇</w:t>
            </w:r>
          </w:p>
        </w:tc>
        <w:tc>
          <w:tcPr>
            <w:tcW w:w="294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病理学与病理学</w:t>
            </w:r>
          </w:p>
        </w:tc>
        <w:tc>
          <w:tcPr>
            <w:tcW w:w="1070" w:type="dxa"/>
            <w:noWrap w:val="0"/>
            <w:vAlign w:val="top"/>
          </w:tcPr>
          <w:p>
            <w:pPr>
              <w:widowControl/>
              <w:spacing w:line="580" w:lineRule="exact"/>
              <w:rPr>
                <w:rFonts w:hint="eastAsia" w:ascii="仿宋_GB2312" w:eastAsia="仿宋_GB2312"/>
                <w:color w:val="000000"/>
                <w:sz w:val="28"/>
                <w:szCs w:val="28"/>
              </w:rPr>
            </w:pPr>
            <w:r>
              <w:rPr>
                <w:rFonts w:hint="eastAsia" w:ascii="仿宋_GB2312" w:hAnsi="宋体" w:eastAsia="仿宋_GB2312" w:cs="宋体"/>
                <w:color w:val="auto"/>
                <w:kern w:val="0"/>
                <w:sz w:val="24"/>
                <w:szCs w:val="24"/>
                <w:lang w:eastAsia="zh-CN"/>
              </w:rPr>
              <w:t>讲师</w:t>
            </w:r>
          </w:p>
        </w:tc>
        <w:tc>
          <w:tcPr>
            <w:tcW w:w="2042" w:type="dxa"/>
            <w:tcBorders>
              <w:bottom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_GB2312" w:eastAsia="仿宋_GB2312"/>
                <w:color w:val="000000"/>
                <w:sz w:val="28"/>
                <w:szCs w:val="28"/>
              </w:rPr>
            </w:pPr>
          </w:p>
        </w:tc>
      </w:tr>
    </w:tbl>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b/>
          <w:color w:val="000000"/>
          <w:sz w:val="28"/>
          <w:szCs w:val="28"/>
        </w:rPr>
      </w:pPr>
      <w:r>
        <w:rPr>
          <w:rFonts w:hint="eastAsia" w:ascii="仿宋_GB2312" w:eastAsia="仿宋_GB2312"/>
          <w:b/>
          <w:color w:val="000000"/>
          <w:sz w:val="28"/>
          <w:szCs w:val="28"/>
        </w:rPr>
        <w:t>八、学院审核意见</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r>
        <w:rPr>
          <w:rFonts w:hint="eastAsia" w:ascii="仿宋_GB2312" w:eastAsia="仿宋_GB2312"/>
          <w:color w:val="000000"/>
          <w:sz w:val="28"/>
          <w:szCs w:val="28"/>
        </w:rPr>
        <w:t>（注：学院主管领导签署意见、签字：论证报告情况核实情况，购置该设备的必要性，是否同意购置该设备等）</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 学院名称）（盖章）</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w:t>
      </w:r>
      <w:bookmarkStart w:id="0" w:name="_GoBack"/>
      <w:bookmarkEnd w:id="0"/>
      <w:r>
        <w:rPr>
          <w:rFonts w:hint="eastAsia" w:ascii="仿宋_GB2312" w:eastAsia="仿宋_GB2312"/>
          <w:color w:val="000000"/>
          <w:sz w:val="28"/>
          <w:szCs w:val="28"/>
        </w:rPr>
        <w:t xml:space="preserve">  201</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年   月   日</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b/>
          <w:color w:val="000000"/>
          <w:sz w:val="28"/>
          <w:szCs w:val="28"/>
        </w:rPr>
      </w:pPr>
      <w:r>
        <w:rPr>
          <w:rFonts w:hint="eastAsia" w:ascii="仿宋_GB2312" w:eastAsia="仿宋_GB2312"/>
          <w:b/>
          <w:color w:val="000000"/>
          <w:sz w:val="28"/>
          <w:szCs w:val="28"/>
        </w:rPr>
        <w:t>九、学校主管部门审核意见</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jc w:val="left"/>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（盖章）</w:t>
      </w:r>
    </w:p>
    <w:p>
      <w:pPr>
        <w:keepNext w:val="0"/>
        <w:keepLines w:val="0"/>
        <w:pageBreakBefore w:val="0"/>
        <w:widowControl w:val="0"/>
        <w:kinsoku/>
        <w:wordWrap/>
        <w:overflowPunct/>
        <w:topLinePunct w:val="0"/>
        <w:autoSpaceDE/>
        <w:autoSpaceDN/>
        <w:bidi w:val="0"/>
        <w:adjustRightInd/>
        <w:snapToGrid/>
        <w:spacing w:line="580" w:lineRule="exact"/>
        <w:ind w:firstLine="555"/>
        <w:jc w:val="left"/>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201</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年   月   日</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b/>
          <w:color w:val="000000"/>
          <w:sz w:val="28"/>
          <w:szCs w:val="28"/>
        </w:rPr>
      </w:pPr>
      <w:r>
        <w:rPr>
          <w:rFonts w:hint="eastAsia" w:ascii="仿宋_GB2312" w:eastAsia="仿宋_GB2312"/>
          <w:b/>
          <w:color w:val="000000"/>
          <w:sz w:val="28"/>
          <w:szCs w:val="28"/>
        </w:rPr>
        <w:t>十、主管校领导审核意见</w:t>
      </w: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555"/>
        <w:textAlignment w:val="auto"/>
        <w:rPr>
          <w:rFonts w:hint="eastAsia" w:ascii="仿宋_GB2312" w:eastAsia="仿宋_GB2312"/>
          <w:color w:val="000000"/>
          <w:sz w:val="28"/>
          <w:szCs w:val="28"/>
        </w:rPr>
      </w:pPr>
      <w:r>
        <w:rPr>
          <w:rFonts w:hint="eastAsia" w:ascii="仿宋_GB2312" w:eastAsia="仿宋_GB2312"/>
          <w:color w:val="000000"/>
          <w:sz w:val="28"/>
          <w:szCs w:val="28"/>
        </w:rPr>
        <w:t xml:space="preserve">                                         201</w:t>
      </w:r>
      <w:r>
        <w:rPr>
          <w:rFonts w:hint="eastAsia" w:ascii="仿宋_GB2312" w:eastAsia="仿宋_GB2312"/>
          <w:color w:val="000000"/>
          <w:sz w:val="28"/>
          <w:szCs w:val="28"/>
          <w:lang w:val="en-US" w:eastAsia="zh-CN"/>
        </w:rPr>
        <w:t xml:space="preserve"> </w:t>
      </w:r>
      <w:r>
        <w:rPr>
          <w:rFonts w:hint="eastAsia" w:ascii="仿宋_GB2312" w:eastAsia="仿宋_GB2312"/>
          <w:color w:val="000000"/>
          <w:sz w:val="28"/>
          <w:szCs w:val="28"/>
        </w:rPr>
        <w:t>年   月   日</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left="556" w:leftChars="0"/>
        <w:textAlignment w:val="auto"/>
        <w:rPr>
          <w:rFonts w:hint="eastAsia" w:ascii="仿宋_GB2312" w:hAnsi="Times New Roman" w:eastAsia="仿宋_GB2312" w:cs="Times New Roman"/>
          <w:b/>
          <w:bCs/>
          <w:color w:val="auto"/>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1995FA"/>
    <w:multiLevelType w:val="singleLevel"/>
    <w:tmpl w:val="A11995FA"/>
    <w:lvl w:ilvl="0" w:tentative="0">
      <w:start w:val="3"/>
      <w:numFmt w:val="chineseCounting"/>
      <w:suff w:val="nothing"/>
      <w:lvlText w:val="%1、"/>
      <w:lvlJc w:val="left"/>
      <w:rPr>
        <w:rFonts w:hint="eastAsia"/>
      </w:rPr>
    </w:lvl>
  </w:abstractNum>
  <w:abstractNum w:abstractNumId="1">
    <w:nsid w:val="201CD720"/>
    <w:multiLevelType w:val="singleLevel"/>
    <w:tmpl w:val="201CD720"/>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285ABF"/>
    <w:rsid w:val="04F14FC2"/>
    <w:rsid w:val="062A55D3"/>
    <w:rsid w:val="0A254963"/>
    <w:rsid w:val="0BA651F3"/>
    <w:rsid w:val="0D285ABF"/>
    <w:rsid w:val="0D7C12BE"/>
    <w:rsid w:val="0FA4244A"/>
    <w:rsid w:val="1C327B01"/>
    <w:rsid w:val="1E467756"/>
    <w:rsid w:val="1EBA67CA"/>
    <w:rsid w:val="251C0EC1"/>
    <w:rsid w:val="3E2D4AB5"/>
    <w:rsid w:val="46BA05CC"/>
    <w:rsid w:val="57A150E9"/>
    <w:rsid w:val="650F4D31"/>
    <w:rsid w:val="6A492D8E"/>
    <w:rsid w:val="6BFD095E"/>
    <w:rsid w:val="77EB52BB"/>
    <w:rsid w:val="7E0E2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2019-03-15T00:48:00Z</dcterms:created>
  <dc:creator>红梅白雪</dc:creator>
  <cp:lastModifiedBy>Administrator</cp:lastModifiedBy>
  <dcterms:modified xsi:type="dcterms:W3CDTF">2019-03-18T00:20:57Z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